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213456E" w:rsidR="00A209D6" w:rsidRPr="00B266B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2BCAFE34">
        <w:rPr>
          <w:noProof w:val="0"/>
          <w:sz w:val="24"/>
          <w:szCs w:val="24"/>
        </w:rPr>
        <w:t>2</w:t>
      </w:r>
      <w:r w:rsidR="005C7CD5" w:rsidRPr="2BCAFE34">
        <w:rPr>
          <w:noProof w:val="0"/>
          <w:sz w:val="24"/>
          <w:szCs w:val="24"/>
        </w:rPr>
        <w:t>2</w:t>
      </w:r>
      <w:r w:rsidR="00C55A12" w:rsidRPr="00655F96">
        <w:rPr>
          <w:noProof w:val="0"/>
          <w:sz w:val="24"/>
          <w:szCs w:val="24"/>
        </w:rPr>
        <w:t>0</w:t>
      </w:r>
      <w:r w:rsidR="00C55A12" w:rsidRPr="2BCAFE34">
        <w:rPr>
          <w:noProof w:val="0"/>
          <w:sz w:val="24"/>
          <w:szCs w:val="24"/>
        </w:rPr>
        <w:t>8243</w:t>
      </w:r>
    </w:p>
    <w:p w14:paraId="11776FA6" w14:textId="6B1662F7"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61756C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7EC6">
        <w:rPr>
          <w:rFonts w:cs="Arial"/>
          <w:b/>
          <w:bCs/>
          <w:sz w:val="24"/>
          <w:lang w:eastAsia="ja-JP"/>
        </w:rPr>
        <w:t>8.12.</w:t>
      </w:r>
      <w:r w:rsidR="0056052E">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9FB22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052E" w:rsidRPr="0056052E">
        <w:rPr>
          <w:rFonts w:ascii="Arial" w:hAnsi="Arial" w:cs="Arial"/>
          <w:b/>
          <w:bCs/>
          <w:sz w:val="24"/>
        </w:rPr>
        <w:t>On mobile IAB deployment and interference mitigation</w:t>
      </w:r>
    </w:p>
    <w:p w14:paraId="25F387E8" w14:textId="5A35C2E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43D3C" w:rsidRPr="00243D3C">
        <w:rPr>
          <w:rFonts w:ascii="Arial" w:hAnsi="Arial" w:cs="Arial"/>
          <w:b/>
          <w:bCs/>
          <w:sz w:val="24"/>
        </w:rPr>
        <w:t>NR_mobile_IA</w:t>
      </w:r>
      <w:r w:rsidR="00243D3C">
        <w:rPr>
          <w:rFonts w:ascii="Arial" w:hAnsi="Arial" w:cs="Arial"/>
          <w:b/>
          <w:bCs/>
          <w:sz w:val="24"/>
        </w:rPr>
        <w:t>B</w:t>
      </w:r>
      <w:proofErr w:type="spellEnd"/>
      <w:r w:rsidRPr="00112F1A">
        <w:rPr>
          <w:rFonts w:ascii="Arial" w:hAnsi="Arial" w:cs="Arial"/>
          <w:b/>
          <w:bCs/>
          <w:sz w:val="24"/>
        </w:rPr>
        <w:t xml:space="preserve"> </w:t>
      </w:r>
      <w:r>
        <w:rPr>
          <w:rFonts w:ascii="Arial" w:hAnsi="Arial" w:cs="Arial"/>
          <w:b/>
          <w:bCs/>
          <w:sz w:val="24"/>
        </w:rPr>
        <w:t xml:space="preserve">- Release </w:t>
      </w:r>
      <w:r w:rsidR="00243D3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C82DFF" w14:textId="77777777" w:rsidR="00334C3A" w:rsidRDefault="00334C3A" w:rsidP="00334C3A">
      <w:r>
        <w:t>The agreed WID [1] defines the scope of Rel.18 as follows:</w:t>
      </w:r>
    </w:p>
    <w:p w14:paraId="4D99814D" w14:textId="77777777" w:rsidR="00334C3A" w:rsidRPr="00405D21" w:rsidRDefault="00334C3A" w:rsidP="00334C3A">
      <w:pPr>
        <w:pStyle w:val="maintext"/>
        <w:spacing w:before="0" w:after="0" w:line="240" w:lineRule="auto"/>
        <w:ind w:left="360" w:firstLineChars="0" w:firstLine="0"/>
        <w:rPr>
          <w:rFonts w:ascii="Calibri" w:eastAsia="Times New Roman" w:hAnsi="Calibri" w:cs="Calibri"/>
          <w:i/>
          <w:iCs/>
          <w:lang w:eastAsia="en-US"/>
        </w:rPr>
      </w:pPr>
      <w:r w:rsidRPr="00405D21">
        <w:rPr>
          <w:rFonts w:ascii="Calibri" w:eastAsia="Times New Roman" w:hAnsi="Calibri" w:cs="Calibri"/>
          <w:i/>
          <w:iCs/>
          <w:lang w:eastAsia="en-US"/>
        </w:rPr>
        <w:t>In Rel-18, mobile IAB supports the following functionality, applicable to FR1 and FR2:</w:t>
      </w:r>
    </w:p>
    <w:p w14:paraId="150255DF" w14:textId="77777777" w:rsidR="00334C3A" w:rsidRPr="00405D21" w:rsidRDefault="00334C3A" w:rsidP="00334C3A">
      <w:pPr>
        <w:pStyle w:val="maintext"/>
        <w:numPr>
          <w:ilvl w:val="0"/>
          <w:numId w:val="9"/>
        </w:numPr>
        <w:spacing w:before="0" w:after="0" w:line="240" w:lineRule="auto"/>
        <w:ind w:left="1080" w:firstLineChars="0"/>
        <w:rPr>
          <w:rFonts w:ascii="Calibri" w:eastAsia="Times New Roman" w:hAnsi="Calibri" w:cs="Calibri"/>
          <w:i/>
          <w:iCs/>
          <w:lang w:eastAsia="en-US"/>
        </w:rPr>
      </w:pPr>
      <w:r w:rsidRPr="00405D21">
        <w:rPr>
          <w:rFonts w:ascii="Calibri" w:eastAsia="Times New Roman" w:hAnsi="Calibri" w:cs="Calibri"/>
          <w:i/>
          <w:iCs/>
          <w:lang w:eastAsia="en-US"/>
        </w:rPr>
        <w:t>In-band and out-of-band backhauling.</w:t>
      </w:r>
    </w:p>
    <w:p w14:paraId="15A4F8E6" w14:textId="77777777" w:rsidR="00334C3A" w:rsidRPr="00405D21" w:rsidRDefault="00334C3A" w:rsidP="00334C3A">
      <w:pPr>
        <w:pStyle w:val="maintext"/>
        <w:numPr>
          <w:ilvl w:val="0"/>
          <w:numId w:val="9"/>
        </w:numPr>
        <w:spacing w:before="0" w:after="0" w:line="240" w:lineRule="auto"/>
        <w:ind w:left="1080" w:firstLineChars="0"/>
        <w:rPr>
          <w:rFonts w:ascii="Calibri" w:eastAsia="Times New Roman" w:hAnsi="Calibri" w:cs="Calibri"/>
          <w:i/>
          <w:iCs/>
          <w:lang w:eastAsia="en-US"/>
        </w:rPr>
      </w:pPr>
      <w:r w:rsidRPr="00405D21">
        <w:rPr>
          <w:rFonts w:ascii="Calibri" w:eastAsia="Times New Roman" w:hAnsi="Calibri" w:cs="Calibri"/>
          <w:i/>
          <w:iCs/>
          <w:lang w:eastAsia="en-US"/>
        </w:rPr>
        <w:t>The mobile IAB-node should have no descendent IAB-nodes, i.e., it serves only UEs.</w:t>
      </w:r>
    </w:p>
    <w:p w14:paraId="74ED3B76" w14:textId="77777777" w:rsidR="00334C3A" w:rsidRPr="00405D21" w:rsidRDefault="00334C3A" w:rsidP="00334C3A">
      <w:pPr>
        <w:pStyle w:val="maintext"/>
        <w:numPr>
          <w:ilvl w:val="0"/>
          <w:numId w:val="9"/>
        </w:numPr>
        <w:spacing w:before="0" w:after="120" w:line="240" w:lineRule="auto"/>
        <w:ind w:left="1077" w:firstLineChars="0" w:hanging="357"/>
        <w:rPr>
          <w:rFonts w:ascii="Calibri" w:eastAsia="Times New Roman" w:hAnsi="Calibri" w:cs="Calibri"/>
          <w:i/>
          <w:iCs/>
          <w:lang w:eastAsia="en-US"/>
        </w:rPr>
      </w:pPr>
      <w:r w:rsidRPr="00405D21">
        <w:rPr>
          <w:rFonts w:ascii="Calibri" w:eastAsia="Times New Roman" w:hAnsi="Calibri" w:cs="Calibri"/>
          <w:i/>
          <w:iCs/>
          <w:lang w:eastAsia="en-US"/>
        </w:rPr>
        <w:t>Solutions should support UE HO and DC.</w:t>
      </w:r>
    </w:p>
    <w:p w14:paraId="4C0F08A4" w14:textId="77777777" w:rsidR="00334C3A" w:rsidRPr="00405D21" w:rsidRDefault="00334C3A" w:rsidP="00334C3A">
      <w:pPr>
        <w:pStyle w:val="maintext"/>
        <w:spacing w:before="0" w:after="0" w:line="240" w:lineRule="auto"/>
        <w:ind w:left="360" w:firstLineChars="0" w:firstLine="0"/>
        <w:rPr>
          <w:rFonts w:ascii="Calibri" w:eastAsia="Times New Roman" w:hAnsi="Calibri" w:cs="Calibri"/>
          <w:i/>
          <w:iCs/>
          <w:lang w:eastAsia="en-US"/>
        </w:rPr>
      </w:pPr>
      <w:r w:rsidRPr="00405D21">
        <w:rPr>
          <w:rFonts w:ascii="Calibri" w:eastAsia="Times New Roman" w:hAnsi="Calibri" w:cs="Calibri"/>
          <w:i/>
          <w:iCs/>
          <w:lang w:eastAsia="en-US"/>
        </w:rPr>
        <w:t>The detailed objectives of the WI are listed as follows:</w:t>
      </w:r>
    </w:p>
    <w:p w14:paraId="77CB4F45" w14:textId="77777777" w:rsidR="00334C3A" w:rsidRPr="00405D21" w:rsidRDefault="00334C3A" w:rsidP="00334C3A">
      <w:pPr>
        <w:pStyle w:val="maintext"/>
        <w:numPr>
          <w:ilvl w:val="0"/>
          <w:numId w:val="8"/>
        </w:numPr>
        <w:spacing w:before="0" w:after="0" w:line="240" w:lineRule="auto"/>
        <w:ind w:left="1080" w:firstLineChars="0"/>
        <w:rPr>
          <w:rFonts w:ascii="Calibri" w:eastAsia="Times New Roman" w:hAnsi="Calibri" w:cs="Calibri"/>
          <w:i/>
          <w:iCs/>
          <w:lang w:eastAsia="en-US"/>
        </w:rPr>
      </w:pPr>
      <w:r w:rsidRPr="00405D21">
        <w:rPr>
          <w:rFonts w:ascii="Calibri" w:eastAsia="Times New Roman" w:hAnsi="Calibri" w:cs="Calibri"/>
          <w:i/>
          <w:iCs/>
          <w:lang w:eastAsia="en-US"/>
        </w:rPr>
        <w:t>Define Procedures for migration/topology adaptation to enable IAB-node mobility, including inter-donor migration of the entire mobile IAB-node (full migration) [RAN3, RAN2]</w:t>
      </w:r>
    </w:p>
    <w:p w14:paraId="4DAD0626" w14:textId="77777777" w:rsidR="00334C3A" w:rsidRPr="00405D21" w:rsidRDefault="00334C3A" w:rsidP="00334C3A">
      <w:pPr>
        <w:pStyle w:val="maintext"/>
        <w:numPr>
          <w:ilvl w:val="0"/>
          <w:numId w:val="8"/>
        </w:numPr>
        <w:spacing w:before="0" w:after="0" w:line="240" w:lineRule="auto"/>
        <w:ind w:left="1080" w:firstLineChars="0"/>
        <w:rPr>
          <w:rFonts w:ascii="Calibri" w:eastAsia="Times New Roman" w:hAnsi="Calibri" w:cs="Calibri"/>
          <w:i/>
          <w:iCs/>
          <w:lang w:eastAsia="en-US"/>
        </w:rPr>
      </w:pPr>
      <w:r w:rsidRPr="00405D21">
        <w:rPr>
          <w:rFonts w:ascii="Calibri" w:eastAsia="Times New Roman" w:hAnsi="Calibri" w:cs="Calibri"/>
          <w:i/>
          <w:iCs/>
          <w:lang w:eastAsia="en-US"/>
        </w:rPr>
        <w:t>Enhancements for mobility of an IAB-node together with its served UEs, including aspects related to group mobility. No optimizations for the targeting of surrounding UEs. [RAN3, RAN2]</w:t>
      </w:r>
    </w:p>
    <w:p w14:paraId="01D1B1DB" w14:textId="77777777" w:rsidR="00334C3A" w:rsidRPr="00405D21" w:rsidRDefault="00334C3A" w:rsidP="00334C3A">
      <w:pPr>
        <w:pStyle w:val="maintext"/>
        <w:spacing w:before="0" w:after="0" w:line="240" w:lineRule="auto"/>
        <w:ind w:left="1080" w:firstLineChars="0" w:firstLine="0"/>
        <w:rPr>
          <w:rFonts w:ascii="Calibri" w:eastAsia="Times New Roman" w:hAnsi="Calibri" w:cs="Calibri"/>
          <w:i/>
          <w:iCs/>
          <w:lang w:eastAsia="en-US"/>
        </w:rPr>
      </w:pPr>
      <w:r w:rsidRPr="00405D21">
        <w:rPr>
          <w:rFonts w:ascii="Calibri" w:eastAsia="Times New Roman" w:hAnsi="Calibri" w:cs="Calibri"/>
          <w:i/>
          <w:iCs/>
          <w:lang w:eastAsia="en-US"/>
        </w:rPr>
        <w:t>Note: Solutions should avoid touching upon topics where Rel-17 discussions already occurred and where the topic was excluded from Rel-17, except for enhancements that are specific to IAB-node mobility.</w:t>
      </w:r>
    </w:p>
    <w:p w14:paraId="64A0CE10" w14:textId="77777777" w:rsidR="00334C3A" w:rsidRPr="00405D21" w:rsidRDefault="00334C3A" w:rsidP="00334C3A">
      <w:pPr>
        <w:pStyle w:val="maintext"/>
        <w:numPr>
          <w:ilvl w:val="0"/>
          <w:numId w:val="8"/>
        </w:numPr>
        <w:spacing w:before="0" w:after="240" w:line="240" w:lineRule="auto"/>
        <w:ind w:left="1077" w:firstLineChars="0" w:hanging="357"/>
        <w:rPr>
          <w:rFonts w:ascii="Calibri" w:eastAsia="Times New Roman" w:hAnsi="Calibri" w:cs="Calibri"/>
          <w:i/>
          <w:iCs/>
          <w:lang w:eastAsia="en-US"/>
        </w:rPr>
      </w:pPr>
      <w:r w:rsidRPr="00405D21">
        <w:rPr>
          <w:rFonts w:ascii="Calibri" w:eastAsia="Times New Roman" w:hAnsi="Calibri" w:cs="Calibri"/>
          <w:i/>
          <w:iCs/>
          <w:lang w:eastAsia="en-US"/>
        </w:rPr>
        <w:t>Mitigation of interference due to IAB-node mobility, including the avoidance of potential reference and control signal collisions (e.g. PCI, RACH). [RAN3, RAN2]</w:t>
      </w:r>
    </w:p>
    <w:p w14:paraId="204D45BE" w14:textId="6354545F" w:rsidR="00334C3A" w:rsidRDefault="00334C3A" w:rsidP="009911A6">
      <w:r>
        <w:t xml:space="preserve">In this document we discuss the assumptions </w:t>
      </w:r>
      <w:r w:rsidR="0056052E">
        <w:t>for IAB deployment and issues related to interference mitigation</w:t>
      </w:r>
    </w:p>
    <w:p w14:paraId="4F793B53" w14:textId="7434433A" w:rsidR="00334C3A" w:rsidRDefault="009911A6" w:rsidP="00334C3A">
      <w:pPr>
        <w:pStyle w:val="Heading1"/>
      </w:pPr>
      <w:r>
        <w:t>2</w:t>
      </w:r>
      <w:r>
        <w:tab/>
      </w:r>
      <w:r w:rsidR="00334C3A">
        <w:t>Discussion</w:t>
      </w:r>
    </w:p>
    <w:p w14:paraId="24F51688" w14:textId="77777777" w:rsidR="00405D21" w:rsidRDefault="00405D21" w:rsidP="00405D21">
      <w:pPr>
        <w:pStyle w:val="Heading2"/>
      </w:pPr>
      <w:r>
        <w:t>2.1 PCI management</w:t>
      </w:r>
    </w:p>
    <w:p w14:paraId="696E25FD" w14:textId="77777777" w:rsidR="00405D21" w:rsidRDefault="00405D21" w:rsidP="009911A6">
      <w:pPr>
        <w:pStyle w:val="Heading3"/>
      </w:pPr>
      <w:r>
        <w:t>2.1.1 Avoidance of PCI collision</w:t>
      </w:r>
    </w:p>
    <w:p w14:paraId="41B438CC" w14:textId="77777777" w:rsidR="00405D21" w:rsidRDefault="00405D21" w:rsidP="00405D21">
      <w:r>
        <w:t xml:space="preserve">IAB-nodes serve cells the same way as </w:t>
      </w:r>
      <w:proofErr w:type="spellStart"/>
      <w:r>
        <w:t>gNBs</w:t>
      </w:r>
      <w:proofErr w:type="spellEnd"/>
      <w:r>
        <w:t xml:space="preserve"> and for UEs those should not differ from cell of stationary </w:t>
      </w:r>
      <w:proofErr w:type="spellStart"/>
      <w:r>
        <w:t>gNBs</w:t>
      </w:r>
      <w:proofErr w:type="spellEnd"/>
      <w:r>
        <w:t>. The physical cell IDs (PCIs) in a static network are allocated in the way that the same PCI is not allocated to adjacent cells, and preferably not to cells with only one other cell (with other PCI) in between. By this, UEs will be able to distinguish cells in the RRM measurements.</w:t>
      </w:r>
    </w:p>
    <w:p w14:paraId="39F3B470" w14:textId="77777777" w:rsidR="00405D21" w:rsidRDefault="00405D21" w:rsidP="00405D21">
      <w:r>
        <w:t>The situation changes when IAB-nodes are moving. The neighbour cells of the mobile IAB-node will change and, if no mobile IAB specific allocations done, there will be no guarantees that the IAB cell PCI would not collide with the PCIs of the fixed cells. However, a straightforward way of solving the issue would be to define a PCI code space dedicated to mobile IAB-nodes. This allows normal PCI allocations to fixed nodes (with reduced number of PCI codes, though) while allowing free movement of mobile IAB-nodes without the risk for PCI collision with fixed cells.</w:t>
      </w:r>
    </w:p>
    <w:p w14:paraId="555E0DB8" w14:textId="77777777" w:rsidR="00405D21" w:rsidRPr="006D78B9" w:rsidRDefault="00405D21" w:rsidP="00405D21">
      <w:pPr>
        <w:rPr>
          <w:b/>
          <w:bCs/>
        </w:rPr>
      </w:pPr>
      <w:r w:rsidRPr="006D78B9">
        <w:rPr>
          <w:b/>
          <w:bCs/>
        </w:rPr>
        <w:t>Observation 1. With dedicated PCIs for mobile IAB-nodes, PCI collision with fixed cells can be avoided.</w:t>
      </w:r>
    </w:p>
    <w:p w14:paraId="14412E4D" w14:textId="77777777" w:rsidR="00405D21" w:rsidRDefault="00405D21" w:rsidP="00405D21">
      <w:r>
        <w:t>The split of PCIs between fixed and mobile cells does not prevent the possibility of PCI collision between mobile IAB-nodes. Depending on the use case, collisions may be rare or could be even avoided and no enhancements would be needed. On the other hand, the number of PCIs dedicated for mobile IAB cells could be small which would increase the probability of PCI collisions especially in scenarios with free IAB-node movement.</w:t>
      </w:r>
    </w:p>
    <w:p w14:paraId="239A0D60" w14:textId="77777777" w:rsidR="00405D21" w:rsidRPr="006D78B9" w:rsidRDefault="00405D21" w:rsidP="00405D21">
      <w:pPr>
        <w:rPr>
          <w:b/>
          <w:bCs/>
        </w:rPr>
      </w:pPr>
      <w:r w:rsidRPr="006D78B9">
        <w:rPr>
          <w:b/>
          <w:bCs/>
        </w:rPr>
        <w:lastRenderedPageBreak/>
        <w:t>Observation 2. The probability of PCI collision between mobile IAB-nodes depend</w:t>
      </w:r>
      <w:r>
        <w:rPr>
          <w:b/>
          <w:bCs/>
        </w:rPr>
        <w:t>s</w:t>
      </w:r>
      <w:r w:rsidRPr="006D78B9">
        <w:rPr>
          <w:b/>
          <w:bCs/>
        </w:rPr>
        <w:t xml:space="preserve"> o</w:t>
      </w:r>
      <w:r>
        <w:rPr>
          <w:b/>
          <w:bCs/>
        </w:rPr>
        <w:t>n</w:t>
      </w:r>
      <w:r w:rsidRPr="006D78B9">
        <w:rPr>
          <w:b/>
          <w:bCs/>
        </w:rPr>
        <w:t xml:space="preserve"> the use case and deployment scenario.</w:t>
      </w:r>
    </w:p>
    <w:p w14:paraId="67FFE7B3" w14:textId="3339D425" w:rsidR="00405D21" w:rsidRDefault="00405D21" w:rsidP="00405D21">
      <w:pPr>
        <w:spacing w:after="240"/>
      </w:pPr>
      <w:r w:rsidRPr="3FA6E80F">
        <w:rPr>
          <w:b/>
          <w:bCs/>
        </w:rPr>
        <w:t>Proposal 1. In the WI issues related to PCI collision should be investigated if a specified enhancements are needed to prevent that.</w:t>
      </w:r>
    </w:p>
    <w:p w14:paraId="5F68B756" w14:textId="77777777" w:rsidR="00405D21" w:rsidRDefault="00405D21" w:rsidP="00405D21">
      <w:r>
        <w:t>The remedy of a collision would be to change the PCI of one of the colliding mobile IAB cells. That would have impact to UEs connected to the mobile IAB-node that has to change the PCI. UEs should be handed over to the new cell (with new PCI) served by the same IAB-node. Hence, this would result in a service interruption of some duration and potentially RLFs if the procedure for the PCI change would not be fast enough.</w:t>
      </w:r>
    </w:p>
    <w:p w14:paraId="4F4E3B01" w14:textId="77777777" w:rsidR="00405D21" w:rsidRPr="001D371B" w:rsidRDefault="00405D21" w:rsidP="00405D21">
      <w:pPr>
        <w:rPr>
          <w:b/>
          <w:bCs/>
        </w:rPr>
      </w:pPr>
      <w:r w:rsidRPr="001D371B">
        <w:rPr>
          <w:b/>
          <w:bCs/>
        </w:rPr>
        <w:t>Observation 2. The remedy of PCI collision between mobile IAB-nodes would need PCI change of an active cell of a mobile IAB-node affecting the UEs connected to it.</w:t>
      </w:r>
    </w:p>
    <w:p w14:paraId="073A6A43" w14:textId="77777777" w:rsidR="00405D21" w:rsidRDefault="00405D21" w:rsidP="00405D21">
      <w:r>
        <w:t>Whether any optimization is needed for the PCI change depends on the assumed probability of collisions. This is something to be assessed in the WI.</w:t>
      </w:r>
    </w:p>
    <w:p w14:paraId="670B3819" w14:textId="3194C442" w:rsidR="00405D21" w:rsidRPr="001D371B" w:rsidRDefault="00405D21" w:rsidP="00405D21">
      <w:pPr>
        <w:rPr>
          <w:b/>
          <w:bCs/>
        </w:rPr>
      </w:pPr>
      <w:r w:rsidRPr="001D371B">
        <w:rPr>
          <w:b/>
          <w:bCs/>
        </w:rPr>
        <w:t>Proposal 2. RAN</w:t>
      </w:r>
      <w:r>
        <w:rPr>
          <w:b/>
          <w:bCs/>
        </w:rPr>
        <w:t>2</w:t>
      </w:r>
      <w:r w:rsidRPr="001D371B">
        <w:rPr>
          <w:b/>
          <w:bCs/>
        </w:rPr>
        <w:t xml:space="preserve"> to assess if any optimization is needed for the PCI change procedure aiming to avoid PCI collision between mobile IAB-nodes.</w:t>
      </w:r>
    </w:p>
    <w:p w14:paraId="5F615A3B" w14:textId="77777777" w:rsidR="00405D21" w:rsidRDefault="00405D21" w:rsidP="009911A6">
      <w:pPr>
        <w:pStyle w:val="Heading3"/>
      </w:pPr>
      <w:r>
        <w:t>2.1.2 PCI allocation in full migration</w:t>
      </w:r>
    </w:p>
    <w:p w14:paraId="34CF7DCC" w14:textId="77777777" w:rsidR="00405D21" w:rsidRDefault="00405D21" w:rsidP="00405D21">
      <w:pPr>
        <w:spacing w:after="0"/>
      </w:pPr>
      <w:r>
        <w:t>As much as discussed in Rel.17, the main assumption was that IAB full migration would use two logical DUs</w:t>
      </w:r>
    </w:p>
    <w:p w14:paraId="1719D853" w14:textId="77777777" w:rsidR="00405D21" w:rsidRDefault="00405D21" w:rsidP="00405D21">
      <w:pPr>
        <w:spacing w:after="120"/>
      </w:pPr>
      <w:r>
        <w:t>to facilitate smooth transfer of UEs to the new cell served by the other DU. In normal case, the PCI(s) for the IAB-DU cell(s) can be allocated by OAM. When activating the other logical DU and the cell(s) served by it, the PCI(s) can be (pre-)allocated by the OAM in a legacy manner. However, OAM based PCI allocation for mobility purposes may not be optimum as it cannot predict the IAB locations and whether e.g. PCI collisions would happen when the two DUs are active. Hence, other options should be considered.</w:t>
      </w:r>
    </w:p>
    <w:p w14:paraId="558C9A21" w14:textId="77777777" w:rsidR="00405D21" w:rsidRDefault="00405D21" w:rsidP="00405D21">
      <w:pPr>
        <w:spacing w:after="0"/>
      </w:pPr>
      <w:r>
        <w:t xml:space="preserve">An alternative option would be that RAN allocates the PCI(s) which would possibly require some coordination with the donors and/or with OAM. </w:t>
      </w:r>
    </w:p>
    <w:p w14:paraId="0E01C3C0" w14:textId="77777777" w:rsidR="00405D21" w:rsidRDefault="00405D21" w:rsidP="00405D21">
      <w:pPr>
        <w:spacing w:after="0"/>
      </w:pPr>
    </w:p>
    <w:p w14:paraId="74BF5578" w14:textId="77777777" w:rsidR="00405D21" w:rsidRPr="00FC0C01" w:rsidRDefault="00405D21" w:rsidP="00405D21">
      <w:pPr>
        <w:spacing w:after="120"/>
        <w:rPr>
          <w:b/>
          <w:bCs/>
        </w:rPr>
      </w:pPr>
      <w:r w:rsidRPr="3A031711">
        <w:rPr>
          <w:b/>
          <w:bCs/>
        </w:rPr>
        <w:t>Observation 3. PCI allocation by either RAN or OAM for the other logical DU cell(s) can be feasible options for the full migration procedure.</w:t>
      </w:r>
    </w:p>
    <w:p w14:paraId="6B3EC9B0" w14:textId="77777777" w:rsidR="00405D21" w:rsidRDefault="00405D21" w:rsidP="00405D21">
      <w:pPr>
        <w:spacing w:after="0"/>
      </w:pPr>
    </w:p>
    <w:p w14:paraId="62CC50C2" w14:textId="77777777" w:rsidR="00405D21" w:rsidRDefault="00405D21" w:rsidP="00405D21">
      <w:pPr>
        <w:spacing w:after="0"/>
      </w:pPr>
      <w:r>
        <w:t>The PCI allocation for the two logical DUs is also related to the radio resource sharing and whether the PCI(s) of the new cell(s) can be the same as those of the first DU. If the same PCI can be used, there would not be issues due to the IAB-node mobility (assuming dedicated PCIs for mobile IAB-nodes), nor related to the signalling procedures, for the PCI management as the PCIs allocated initially can be continued to be used. It should be noted that the use of same PCI would imply same SSB configurations for the two DU cells. Otherwise, there would be PCI collision between cells of the two DUs.</w:t>
      </w:r>
    </w:p>
    <w:p w14:paraId="53430B00" w14:textId="77777777" w:rsidR="00405D21" w:rsidRDefault="00405D21" w:rsidP="00405D21">
      <w:pPr>
        <w:spacing w:after="0"/>
      </w:pPr>
    </w:p>
    <w:p w14:paraId="4E09E7C0" w14:textId="77777777" w:rsidR="00405D21" w:rsidRPr="00820DF6" w:rsidRDefault="00405D21" w:rsidP="00405D21">
      <w:pPr>
        <w:spacing w:after="0"/>
        <w:rPr>
          <w:b/>
          <w:bCs/>
        </w:rPr>
      </w:pPr>
      <w:r w:rsidRPr="00820DF6">
        <w:rPr>
          <w:b/>
          <w:bCs/>
        </w:rPr>
        <w:t>Observation 4. Using the same PCI(s) for the source and target cell(s) of the two logical DUs would not require specific PCI management and would allow simplified procedure for the full migration.</w:t>
      </w:r>
    </w:p>
    <w:p w14:paraId="6D0C880A" w14:textId="77777777" w:rsidR="00405D21" w:rsidRDefault="00405D21" w:rsidP="00405D21">
      <w:pPr>
        <w:spacing w:after="0"/>
      </w:pPr>
    </w:p>
    <w:p w14:paraId="14CBD8ED" w14:textId="77777777" w:rsidR="00405D21" w:rsidRDefault="00405D21" w:rsidP="00405D21">
      <w:pPr>
        <w:spacing w:after="0"/>
      </w:pPr>
      <w:r>
        <w:t>As said, the PCI allocation is related to the radio resource sharing between the two DUs. This is discussed more in 2.2.</w:t>
      </w:r>
    </w:p>
    <w:p w14:paraId="6B4DC826" w14:textId="77777777" w:rsidR="00405D21" w:rsidRPr="00DD703E" w:rsidRDefault="00405D21" w:rsidP="00405D21">
      <w:pPr>
        <w:spacing w:after="0"/>
        <w:rPr>
          <w:b/>
          <w:bCs/>
        </w:rPr>
      </w:pPr>
    </w:p>
    <w:p w14:paraId="73D203B8" w14:textId="77777777" w:rsidR="00405D21" w:rsidRPr="009911A6" w:rsidRDefault="00405D21" w:rsidP="009911A6">
      <w:pPr>
        <w:pStyle w:val="Heading2"/>
      </w:pPr>
      <w:r w:rsidRPr="009911A6">
        <w:t>2.2 SSB and PRACH configurations</w:t>
      </w:r>
    </w:p>
    <w:p w14:paraId="5AE58F85" w14:textId="77777777" w:rsidR="00405D21" w:rsidRDefault="00405D21" w:rsidP="00405D21">
      <w:r>
        <w:t>Rel.16/17 IAB nodes broadcast normal cell SSBs used by UEs to detect and measure the radio links to the serving and neighbouring cells. Additionally, IAB specific SSBs are broadcast to enable inter-IAB-node discovery and measurements used as the basis for topology adaptation if the serving link(s) fail, or if a redundant connection (DC) is established. The IAB-specific SSBs are not cell defining SSBs and they are broadcast off-raster to normal SSBs avoiding confusion to UE measurements.</w:t>
      </w:r>
    </w:p>
    <w:p w14:paraId="33BFCDE3" w14:textId="77777777" w:rsidR="00405D21" w:rsidRDefault="00405D21" w:rsidP="00405D21">
      <w:r>
        <w:t>In the mobile scenarios, IAB-DU cell SSB configurations can use parameter values specific for mobile IAB-nodes being different from those used by the fixed nodes. This would allow IAB-MT RRM measurements to detect and monitor fixed cells like a normal UE while allowing IAB-DU to broadcast the SSBs of its own cells. With this approach, also the PRACH occasions can be orthogonal between fixed and mobile cells avoiding issues with IAB MT and DU resource usage even when supporting only half-duplex operation.</w:t>
      </w:r>
    </w:p>
    <w:p w14:paraId="604A5EDF" w14:textId="77777777" w:rsidR="00405D21" w:rsidRPr="000C1A5A" w:rsidRDefault="00405D21" w:rsidP="00405D21">
      <w:pPr>
        <w:rPr>
          <w:b/>
          <w:bCs/>
        </w:rPr>
      </w:pPr>
      <w:r w:rsidRPr="3FA6E80F">
        <w:rPr>
          <w:b/>
          <w:bCs/>
        </w:rPr>
        <w:lastRenderedPageBreak/>
        <w:t>Observation 5. Mobile IAB-MT can perform RRM measurements like UEs provided that the configurations for IAB-DU broadcast channels are orthogonal to those of fixed cells allowing orthogonalization of SSBs and PRACH occasions between fixed and mobile cells.</w:t>
      </w:r>
    </w:p>
    <w:p w14:paraId="20266FF3" w14:textId="2D398C9E" w:rsidR="00405D21" w:rsidRDefault="00405D21" w:rsidP="00405D21">
      <w:r>
        <w:t xml:space="preserve">The network should be able to detect when mobile IAB-nodes are </w:t>
      </w:r>
      <w:r w:rsidR="00CE14F8">
        <w:t>approaching</w:t>
      </w:r>
      <w:r>
        <w:t xml:space="preserve"> each other as some re-configurations may be needed to avoid parameter collisions. Mobile IAB-nodes could discover other mobile IAB-nodes by broadcasting IAB specific SSBs and monitoring those sent by the other nodes. This would detect when mobile IAB-nodes come close to each other so that their cell coverage starts to overlap. Therefore, mobile IAB-nodes, like fixed IAB-nodes, may broadcast also IAB specific SSB for inter-node discovery and monitoring.</w:t>
      </w:r>
    </w:p>
    <w:p w14:paraId="7DA17612" w14:textId="2BA68796" w:rsidR="00405D21" w:rsidRPr="001A5421" w:rsidRDefault="00405D21" w:rsidP="00405D21">
      <w:pPr>
        <w:rPr>
          <w:b/>
          <w:bCs/>
        </w:rPr>
      </w:pPr>
      <w:r w:rsidRPr="001A5421">
        <w:rPr>
          <w:b/>
          <w:bCs/>
        </w:rPr>
        <w:t xml:space="preserve">Observations 6. Mobile IAB-nodes </w:t>
      </w:r>
      <w:r>
        <w:rPr>
          <w:b/>
          <w:bCs/>
        </w:rPr>
        <w:t xml:space="preserve">may </w:t>
      </w:r>
      <w:r w:rsidRPr="001A5421">
        <w:rPr>
          <w:b/>
          <w:bCs/>
        </w:rPr>
        <w:t>broadcast IAB specific SSBs for inter-mobile-IAB-node discovery and monitoring.</w:t>
      </w:r>
    </w:p>
    <w:p w14:paraId="245AEFB9" w14:textId="4714C025" w:rsidR="00405D21" w:rsidRPr="001A5421" w:rsidRDefault="00405D21" w:rsidP="00405D21">
      <w:pPr>
        <w:rPr>
          <w:b/>
          <w:bCs/>
        </w:rPr>
      </w:pPr>
      <w:r>
        <w:rPr>
          <w:b/>
          <w:bCs/>
        </w:rPr>
        <w:t xml:space="preserve">Proposal </w:t>
      </w:r>
      <w:r w:rsidR="00CE14F8">
        <w:rPr>
          <w:b/>
          <w:bCs/>
        </w:rPr>
        <w:t>3</w:t>
      </w:r>
      <w:r>
        <w:rPr>
          <w:b/>
          <w:bCs/>
        </w:rPr>
        <w:t xml:space="preserve">. RAN2 to discuss the SSB and PRACH configurations </w:t>
      </w:r>
      <w:r w:rsidR="00CE14F8" w:rsidRPr="001A5421">
        <w:rPr>
          <w:b/>
          <w:bCs/>
        </w:rPr>
        <w:t>for inter-mobile-IAB-node discovery and monitoring.</w:t>
      </w:r>
    </w:p>
    <w:p w14:paraId="4FAB55A3" w14:textId="77777777" w:rsidR="00405D21" w:rsidRDefault="00405D21" w:rsidP="00405D21">
      <w:r>
        <w:t>IAB specific SSBs can be assigned orthogonal RX/TX patterns to enable inter-node measurements. Such configuration shall be done also to mobile IAB-nodes. However, there is an additional issue caused by the mobility as the number of RX/TX patterns is limited. While IAB-nodes move, they may become close to another mobile IAB-node having the same pattern and the inter-node discovery/measurements would not be possible.</w:t>
      </w:r>
    </w:p>
    <w:p w14:paraId="7B01285A" w14:textId="77777777" w:rsidR="00405D21" w:rsidRPr="009F77BA" w:rsidRDefault="00405D21" w:rsidP="00405D21">
      <w:pPr>
        <w:rPr>
          <w:b/>
          <w:bCs/>
        </w:rPr>
      </w:pPr>
      <w:r w:rsidRPr="009F77BA">
        <w:rPr>
          <w:b/>
          <w:bCs/>
        </w:rPr>
        <w:t>Observation 7. There can be collisions of same pattern of IAB specific SSBs of two mobile IAB-nodes.</w:t>
      </w:r>
    </w:p>
    <w:p w14:paraId="7675F23D" w14:textId="75FF37C5" w:rsidR="00405D21" w:rsidRDefault="00405D21" w:rsidP="00405D21">
      <w:r>
        <w:t>If the collisions of IAB specific SSBs needs to be prevented, it would have less consequences as it would affect only one of the mobile IABs at the time and UEs would not be impacted. The RX/TX pattern or IAB specific SSB configuration of the mobile IAB-node can be re-configured if a risk for a collision is detected. The probability of such collision can be low and therefore specified enhancements for this issue do not seem justified. Possible actions can be left for implementation.</w:t>
      </w:r>
    </w:p>
    <w:p w14:paraId="7B3314A4" w14:textId="77777777" w:rsidR="009911A6" w:rsidRDefault="00405D21" w:rsidP="009911A6">
      <w:pPr>
        <w:rPr>
          <w:b/>
          <w:bCs/>
        </w:rPr>
      </w:pPr>
      <w:r w:rsidRPr="0074392B">
        <w:rPr>
          <w:b/>
          <w:bCs/>
        </w:rPr>
        <w:t xml:space="preserve">Proposal </w:t>
      </w:r>
      <w:r w:rsidR="00CE14F8">
        <w:rPr>
          <w:b/>
          <w:bCs/>
        </w:rPr>
        <w:t>4</w:t>
      </w:r>
      <w:r w:rsidRPr="0074392B">
        <w:rPr>
          <w:b/>
          <w:bCs/>
        </w:rPr>
        <w:t xml:space="preserve">. Corrective action for potential collision of IAB specific SSB RX/TX pattern can be left for network </w:t>
      </w:r>
    </w:p>
    <w:p w14:paraId="69B7B8E6" w14:textId="736BAAC1" w:rsidR="009339CB" w:rsidRPr="006E13D1" w:rsidRDefault="005A13AB" w:rsidP="009911A6">
      <w:pPr>
        <w:pStyle w:val="Heading1"/>
        <w:rPr>
          <w:rFonts w:eastAsia="Arial" w:cs="Arial"/>
          <w:szCs w:val="32"/>
        </w:rPr>
      </w:pPr>
      <w:r>
        <w:t>3</w:t>
      </w:r>
      <w:r w:rsidR="009339CB" w:rsidRPr="006E13D1">
        <w:tab/>
      </w:r>
      <w:r w:rsidR="009339CB">
        <w:t>Conclusion</w:t>
      </w:r>
    </w:p>
    <w:p w14:paraId="037124E9" w14:textId="77777777" w:rsidR="00CE14F8" w:rsidRDefault="00CE14F8" w:rsidP="00CE14F8">
      <w:pPr>
        <w:spacing w:after="240"/>
      </w:pPr>
      <w:r w:rsidRPr="3FA6E80F">
        <w:rPr>
          <w:b/>
          <w:bCs/>
        </w:rPr>
        <w:t>Proposal 1. In the WI issues related to PCI collision should be investigated if a specified enhancements are needed to prevent that.</w:t>
      </w:r>
    </w:p>
    <w:p w14:paraId="4FD180CE" w14:textId="77777777" w:rsidR="00CE14F8" w:rsidRPr="001D371B" w:rsidRDefault="00CE14F8" w:rsidP="00CE14F8">
      <w:pPr>
        <w:rPr>
          <w:b/>
          <w:bCs/>
        </w:rPr>
      </w:pPr>
      <w:r w:rsidRPr="001D371B">
        <w:rPr>
          <w:b/>
          <w:bCs/>
        </w:rPr>
        <w:t>Proposal 2. RAN</w:t>
      </w:r>
      <w:r>
        <w:rPr>
          <w:b/>
          <w:bCs/>
        </w:rPr>
        <w:t>2</w:t>
      </w:r>
      <w:r w:rsidRPr="001D371B">
        <w:rPr>
          <w:b/>
          <w:bCs/>
        </w:rPr>
        <w:t xml:space="preserve"> to assess if any optimization is needed for the PCI change procedure aiming to avoid PCI collision between mobile IAB-nodes.</w:t>
      </w:r>
    </w:p>
    <w:p w14:paraId="354A5CE6" w14:textId="77777777" w:rsidR="00CE14F8" w:rsidRPr="001A5421" w:rsidRDefault="00CE14F8" w:rsidP="00CE14F8">
      <w:pPr>
        <w:rPr>
          <w:b/>
          <w:bCs/>
        </w:rPr>
      </w:pPr>
      <w:r>
        <w:rPr>
          <w:b/>
          <w:bCs/>
        </w:rPr>
        <w:t xml:space="preserve">Proposal 3. RAN2 to discuss the SSB and PRACH configurations </w:t>
      </w:r>
      <w:r w:rsidRPr="001A5421">
        <w:rPr>
          <w:b/>
          <w:bCs/>
        </w:rPr>
        <w:t>for inter-mobile-IAB-node discovery and monitoring.</w:t>
      </w:r>
    </w:p>
    <w:p w14:paraId="1935A20F" w14:textId="77777777" w:rsidR="00CE14F8" w:rsidRPr="0074392B" w:rsidRDefault="00CE14F8" w:rsidP="00CE14F8">
      <w:pPr>
        <w:rPr>
          <w:b/>
          <w:bCs/>
        </w:rPr>
      </w:pPr>
      <w:r w:rsidRPr="0074392B">
        <w:rPr>
          <w:b/>
          <w:bCs/>
        </w:rPr>
        <w:t xml:space="preserve">Proposal </w:t>
      </w:r>
      <w:r>
        <w:rPr>
          <w:b/>
          <w:bCs/>
        </w:rPr>
        <w:t>4</w:t>
      </w:r>
      <w:r w:rsidRPr="0074392B">
        <w:rPr>
          <w:b/>
          <w:bCs/>
        </w:rPr>
        <w:t>. Corrective action for potential collision of IAB specific SSB RX/TX pattern can be left for network implementation.</w:t>
      </w:r>
    </w:p>
    <w:p w14:paraId="56EEE39D" w14:textId="15F7AE07" w:rsidR="009339CB" w:rsidRDefault="009339CB" w:rsidP="009339CB">
      <w:pPr>
        <w:rPr>
          <w:b/>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805F" w14:textId="77777777" w:rsidR="006E4268" w:rsidRDefault="006E4268">
      <w:r>
        <w:separator/>
      </w:r>
    </w:p>
  </w:endnote>
  <w:endnote w:type="continuationSeparator" w:id="0">
    <w:p w14:paraId="7956D9DF" w14:textId="77777777" w:rsidR="006E4268" w:rsidRDefault="006E4268">
      <w:r>
        <w:continuationSeparator/>
      </w:r>
    </w:p>
  </w:endnote>
  <w:endnote w:type="continuationNotice" w:id="1">
    <w:p w14:paraId="2714485B" w14:textId="77777777" w:rsidR="006E4268" w:rsidRDefault="006E4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D2C5" w14:textId="77777777" w:rsidR="006E4268" w:rsidRDefault="006E4268">
      <w:r>
        <w:separator/>
      </w:r>
    </w:p>
  </w:footnote>
  <w:footnote w:type="continuationSeparator" w:id="0">
    <w:p w14:paraId="3A490DEF" w14:textId="77777777" w:rsidR="006E4268" w:rsidRDefault="006E4268">
      <w:r>
        <w:continuationSeparator/>
      </w:r>
    </w:p>
  </w:footnote>
  <w:footnote w:type="continuationNotice" w:id="1">
    <w:p w14:paraId="1B09D6AA" w14:textId="77777777" w:rsidR="006E4268" w:rsidRDefault="006E4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7915B7"/>
    <w:multiLevelType w:val="hybridMultilevel"/>
    <w:tmpl w:val="939EA680"/>
    <w:lvl w:ilvl="0" w:tplc="FFFFFFFF">
      <w:start w:val="2"/>
      <w:numFmt w:val="bullet"/>
      <w:lvlText w:val=""/>
      <w:lvlJc w:val="left"/>
      <w:pPr>
        <w:ind w:left="465" w:hanging="360"/>
      </w:pPr>
      <w:rPr>
        <w:rFonts w:ascii="Symbol" w:hAnsi="Symbo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81419A3"/>
    <w:multiLevelType w:val="multilevel"/>
    <w:tmpl w:val="5CA0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D2529D3"/>
    <w:multiLevelType w:val="hybridMultilevel"/>
    <w:tmpl w:val="DD7096B2"/>
    <w:lvl w:ilvl="0" w:tplc="C50E2782">
      <w:start w:val="2"/>
      <w:numFmt w:val="bullet"/>
      <w:lvlText w:val=""/>
      <w:lvlJc w:val="left"/>
      <w:pPr>
        <w:ind w:left="465" w:hanging="360"/>
      </w:pPr>
      <w:rPr>
        <w:rFonts w:ascii="Symbol" w:hAnsi="Symbol" w:hint="default"/>
      </w:rPr>
    </w:lvl>
    <w:lvl w:ilvl="1" w:tplc="FB827404">
      <w:start w:val="1"/>
      <w:numFmt w:val="bullet"/>
      <w:lvlText w:val="o"/>
      <w:lvlJc w:val="left"/>
      <w:pPr>
        <w:ind w:left="1440" w:hanging="360"/>
      </w:pPr>
      <w:rPr>
        <w:rFonts w:ascii="Courier New" w:hAnsi="Courier New" w:hint="default"/>
      </w:rPr>
    </w:lvl>
    <w:lvl w:ilvl="2" w:tplc="2110D258">
      <w:start w:val="1"/>
      <w:numFmt w:val="bullet"/>
      <w:lvlText w:val=""/>
      <w:lvlJc w:val="left"/>
      <w:pPr>
        <w:ind w:left="2160" w:hanging="360"/>
      </w:pPr>
      <w:rPr>
        <w:rFonts w:ascii="Wingdings" w:hAnsi="Wingdings" w:hint="default"/>
      </w:rPr>
    </w:lvl>
    <w:lvl w:ilvl="3" w:tplc="F4F86F50">
      <w:start w:val="1"/>
      <w:numFmt w:val="bullet"/>
      <w:lvlText w:val=""/>
      <w:lvlJc w:val="left"/>
      <w:pPr>
        <w:ind w:left="2880" w:hanging="360"/>
      </w:pPr>
      <w:rPr>
        <w:rFonts w:ascii="Symbol" w:hAnsi="Symbol" w:hint="default"/>
      </w:rPr>
    </w:lvl>
    <w:lvl w:ilvl="4" w:tplc="CB3E7DEC">
      <w:start w:val="1"/>
      <w:numFmt w:val="bullet"/>
      <w:lvlText w:val="o"/>
      <w:lvlJc w:val="left"/>
      <w:pPr>
        <w:ind w:left="3600" w:hanging="360"/>
      </w:pPr>
      <w:rPr>
        <w:rFonts w:ascii="Courier New" w:hAnsi="Courier New" w:hint="default"/>
      </w:rPr>
    </w:lvl>
    <w:lvl w:ilvl="5" w:tplc="468CC4C6">
      <w:start w:val="1"/>
      <w:numFmt w:val="bullet"/>
      <w:lvlText w:val=""/>
      <w:lvlJc w:val="left"/>
      <w:pPr>
        <w:ind w:left="4320" w:hanging="360"/>
      </w:pPr>
      <w:rPr>
        <w:rFonts w:ascii="Wingdings" w:hAnsi="Wingdings" w:hint="default"/>
      </w:rPr>
    </w:lvl>
    <w:lvl w:ilvl="6" w:tplc="9C003AD8">
      <w:start w:val="1"/>
      <w:numFmt w:val="bullet"/>
      <w:lvlText w:val=""/>
      <w:lvlJc w:val="left"/>
      <w:pPr>
        <w:ind w:left="5040" w:hanging="360"/>
      </w:pPr>
      <w:rPr>
        <w:rFonts w:ascii="Symbol" w:hAnsi="Symbol" w:hint="default"/>
      </w:rPr>
    </w:lvl>
    <w:lvl w:ilvl="7" w:tplc="E00271E4">
      <w:start w:val="1"/>
      <w:numFmt w:val="bullet"/>
      <w:lvlText w:val="o"/>
      <w:lvlJc w:val="left"/>
      <w:pPr>
        <w:ind w:left="5760" w:hanging="360"/>
      </w:pPr>
      <w:rPr>
        <w:rFonts w:ascii="Courier New" w:hAnsi="Courier New" w:hint="default"/>
      </w:rPr>
    </w:lvl>
    <w:lvl w:ilvl="8" w:tplc="C4626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11"/>
  </w:num>
  <w:num w:numId="10">
    <w:abstractNumId w:val="3"/>
  </w:num>
  <w:num w:numId="11">
    <w:abstractNumId w:val="9"/>
  </w:num>
  <w:num w:numId="12">
    <w:abstractNumId w:val="13"/>
  </w:num>
  <w:num w:numId="13">
    <w:abstractNumId w:val="12"/>
  </w:num>
  <w:num w:numId="14">
    <w:abstractNumId w:val="10"/>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C76E4"/>
    <w:rsid w:val="000D58AB"/>
    <w:rsid w:val="00112F1A"/>
    <w:rsid w:val="001159FE"/>
    <w:rsid w:val="00145075"/>
    <w:rsid w:val="00151D45"/>
    <w:rsid w:val="001741A0"/>
    <w:rsid w:val="00175FA0"/>
    <w:rsid w:val="00194CD0"/>
    <w:rsid w:val="001977B9"/>
    <w:rsid w:val="001B49C9"/>
    <w:rsid w:val="001B67B9"/>
    <w:rsid w:val="001C23F4"/>
    <w:rsid w:val="001C4F79"/>
    <w:rsid w:val="001F168B"/>
    <w:rsid w:val="001F7831"/>
    <w:rsid w:val="00204045"/>
    <w:rsid w:val="0020712B"/>
    <w:rsid w:val="0022606D"/>
    <w:rsid w:val="00231728"/>
    <w:rsid w:val="00243D3C"/>
    <w:rsid w:val="00244A05"/>
    <w:rsid w:val="00250404"/>
    <w:rsid w:val="00256B74"/>
    <w:rsid w:val="002610D8"/>
    <w:rsid w:val="002747EC"/>
    <w:rsid w:val="002855BF"/>
    <w:rsid w:val="002B2988"/>
    <w:rsid w:val="002F0D22"/>
    <w:rsid w:val="00311B17"/>
    <w:rsid w:val="003172DC"/>
    <w:rsid w:val="00325AE3"/>
    <w:rsid w:val="00326069"/>
    <w:rsid w:val="00334C3A"/>
    <w:rsid w:val="00347319"/>
    <w:rsid w:val="0035462D"/>
    <w:rsid w:val="0036459E"/>
    <w:rsid w:val="00364B41"/>
    <w:rsid w:val="00383096"/>
    <w:rsid w:val="0039346C"/>
    <w:rsid w:val="003A41EF"/>
    <w:rsid w:val="003B40AD"/>
    <w:rsid w:val="003C4E37"/>
    <w:rsid w:val="003E16BE"/>
    <w:rsid w:val="003E641C"/>
    <w:rsid w:val="003F4E28"/>
    <w:rsid w:val="004006E8"/>
    <w:rsid w:val="00401855"/>
    <w:rsid w:val="00405D21"/>
    <w:rsid w:val="00446C3A"/>
    <w:rsid w:val="00465587"/>
    <w:rsid w:val="00477455"/>
    <w:rsid w:val="004A1F7B"/>
    <w:rsid w:val="004C44D2"/>
    <w:rsid w:val="004D3578"/>
    <w:rsid w:val="004D380D"/>
    <w:rsid w:val="004E213A"/>
    <w:rsid w:val="004F4540"/>
    <w:rsid w:val="004F73A7"/>
    <w:rsid w:val="004F7C71"/>
    <w:rsid w:val="00503171"/>
    <w:rsid w:val="00506C28"/>
    <w:rsid w:val="00534DA0"/>
    <w:rsid w:val="00537EC6"/>
    <w:rsid w:val="00543E6C"/>
    <w:rsid w:val="0056052E"/>
    <w:rsid w:val="00565087"/>
    <w:rsid w:val="0056573F"/>
    <w:rsid w:val="00571279"/>
    <w:rsid w:val="005A13AB"/>
    <w:rsid w:val="005A49C6"/>
    <w:rsid w:val="005C766E"/>
    <w:rsid w:val="005C7CD5"/>
    <w:rsid w:val="00611566"/>
    <w:rsid w:val="0063320E"/>
    <w:rsid w:val="00646D99"/>
    <w:rsid w:val="00655F96"/>
    <w:rsid w:val="00656910"/>
    <w:rsid w:val="006574C0"/>
    <w:rsid w:val="00696821"/>
    <w:rsid w:val="006C66D8"/>
    <w:rsid w:val="006D1E24"/>
    <w:rsid w:val="006D35DE"/>
    <w:rsid w:val="006E1057"/>
    <w:rsid w:val="006E1417"/>
    <w:rsid w:val="006E4268"/>
    <w:rsid w:val="006F6A2C"/>
    <w:rsid w:val="007069DC"/>
    <w:rsid w:val="00707F0E"/>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3B92"/>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D3CD4"/>
    <w:rsid w:val="008F396F"/>
    <w:rsid w:val="008F3DCD"/>
    <w:rsid w:val="0090271F"/>
    <w:rsid w:val="00902DB9"/>
    <w:rsid w:val="0090466A"/>
    <w:rsid w:val="00923655"/>
    <w:rsid w:val="009339CB"/>
    <w:rsid w:val="00936071"/>
    <w:rsid w:val="009376CD"/>
    <w:rsid w:val="00940212"/>
    <w:rsid w:val="00942EC2"/>
    <w:rsid w:val="00961008"/>
    <w:rsid w:val="00961B32"/>
    <w:rsid w:val="00962509"/>
    <w:rsid w:val="00970DB3"/>
    <w:rsid w:val="00974BB0"/>
    <w:rsid w:val="00975BCD"/>
    <w:rsid w:val="009911A6"/>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4D5"/>
    <w:rsid w:val="00B16C2F"/>
    <w:rsid w:val="00B27303"/>
    <w:rsid w:val="00B47FD1"/>
    <w:rsid w:val="00B516BB"/>
    <w:rsid w:val="00B7538C"/>
    <w:rsid w:val="00B84DB2"/>
    <w:rsid w:val="00BA3CC2"/>
    <w:rsid w:val="00BC3555"/>
    <w:rsid w:val="00C12B51"/>
    <w:rsid w:val="00C24650"/>
    <w:rsid w:val="00C25465"/>
    <w:rsid w:val="00C33079"/>
    <w:rsid w:val="00C55A12"/>
    <w:rsid w:val="00C6553E"/>
    <w:rsid w:val="00C65FE3"/>
    <w:rsid w:val="00C83A13"/>
    <w:rsid w:val="00C86F10"/>
    <w:rsid w:val="00C9068C"/>
    <w:rsid w:val="00C92967"/>
    <w:rsid w:val="00C929AA"/>
    <w:rsid w:val="00CA3D0C"/>
    <w:rsid w:val="00CA654B"/>
    <w:rsid w:val="00CB72B8"/>
    <w:rsid w:val="00CD0BA8"/>
    <w:rsid w:val="00CD4C7B"/>
    <w:rsid w:val="00CD58FE"/>
    <w:rsid w:val="00CE14F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703E"/>
    <w:rsid w:val="00DE25D2"/>
    <w:rsid w:val="00DF7C20"/>
    <w:rsid w:val="00E00AA8"/>
    <w:rsid w:val="00E46C08"/>
    <w:rsid w:val="00E471CF"/>
    <w:rsid w:val="00E62835"/>
    <w:rsid w:val="00E77645"/>
    <w:rsid w:val="00E83697"/>
    <w:rsid w:val="00E859B6"/>
    <w:rsid w:val="00EA66C9"/>
    <w:rsid w:val="00EB5D32"/>
    <w:rsid w:val="00EB7686"/>
    <w:rsid w:val="00EC4A25"/>
    <w:rsid w:val="00EF612C"/>
    <w:rsid w:val="00F025A2"/>
    <w:rsid w:val="00F036E9"/>
    <w:rsid w:val="00F07388"/>
    <w:rsid w:val="00F2026E"/>
    <w:rsid w:val="00F2210A"/>
    <w:rsid w:val="00F31372"/>
    <w:rsid w:val="00F36DDC"/>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507D42C"/>
    <w:rsid w:val="2BCAFE34"/>
    <w:rsid w:val="2D71BACD"/>
    <w:rsid w:val="33FF6D5A"/>
    <w:rsid w:val="5980A35D"/>
    <w:rsid w:val="5F040F74"/>
    <w:rsid w:val="681BA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9118C19-D236-46A5-A145-E5D792AC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
    <w:basedOn w:val="Normal"/>
    <w:next w:val="Normal"/>
    <w:link w:val="CaptionChar1"/>
    <w:uiPriority w:val="35"/>
    <w:qFormat/>
    <w:rsid w:val="00334C3A"/>
    <w:pPr>
      <w:overflowPunct w:val="0"/>
      <w:autoSpaceDE w:val="0"/>
      <w:autoSpaceDN w:val="0"/>
      <w:adjustRightInd w:val="0"/>
      <w:spacing w:after="240"/>
      <w:jc w:val="center"/>
      <w:textAlignment w:val="baseline"/>
    </w:pPr>
    <w:rPr>
      <w:rFonts w:ascii="Arial" w:eastAsiaTheme="minorEastAsia" w:hAnsi="Arial"/>
      <w:b/>
      <w:bCs/>
      <w:lang w:eastAsia="zh-CN"/>
    </w:rPr>
  </w:style>
  <w:style w:type="character" w:styleId="CommentReference">
    <w:name w:val="annotation reference"/>
    <w:qFormat/>
    <w:rsid w:val="00334C3A"/>
    <w:rPr>
      <w:sz w:val="16"/>
      <w:szCs w:val="16"/>
    </w:rPr>
  </w:style>
  <w:style w:type="paragraph" w:styleId="CommentText">
    <w:name w:val="annotation text"/>
    <w:basedOn w:val="Normal"/>
    <w:link w:val="CommentTextChar"/>
    <w:qFormat/>
    <w:rsid w:val="00334C3A"/>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ommentTextChar">
    <w:name w:val="Comment Text Char"/>
    <w:basedOn w:val="DefaultParagraphFont"/>
    <w:link w:val="CommentText"/>
    <w:qFormat/>
    <w:rsid w:val="00334C3A"/>
    <w:rPr>
      <w:rFonts w:ascii="Arial" w:eastAsiaTheme="minorEastAsia" w:hAnsi="Arial"/>
      <w:lang w:eastAsia="zh-CN"/>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334C3A"/>
    <w:pPr>
      <w:overflowPunct w:val="0"/>
      <w:autoSpaceDE w:val="0"/>
      <w:autoSpaceDN w:val="0"/>
      <w:adjustRightInd w:val="0"/>
      <w:spacing w:after="120"/>
      <w:ind w:left="720"/>
      <w:contextualSpacing/>
      <w:jc w:val="both"/>
      <w:textAlignment w:val="baseline"/>
    </w:pPr>
    <w:rPr>
      <w:rFonts w:ascii="Arial" w:eastAsiaTheme="minorEastAsia" w:hAnsi="Arial"/>
      <w:lang w:eastAsia="zh-CN"/>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334C3A"/>
    <w:rPr>
      <w:rFonts w:ascii="Arial" w:eastAsiaTheme="minorEastAsia" w:hAnsi="Arial"/>
      <w:lang w:eastAsia="zh-CN"/>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334C3A"/>
    <w:rPr>
      <w:rFonts w:ascii="Arial" w:eastAsiaTheme="minorEastAsia" w:hAnsi="Arial"/>
      <w:b/>
      <w:bCs/>
      <w:lang w:eastAsia="zh-CN"/>
    </w:rPr>
  </w:style>
  <w:style w:type="paragraph" w:customStyle="1" w:styleId="maintext">
    <w:name w:val="main text"/>
    <w:basedOn w:val="Normal"/>
    <w:link w:val="maintextChar"/>
    <w:qFormat/>
    <w:rsid w:val="00334C3A"/>
    <w:pPr>
      <w:spacing w:before="60" w:after="60" w:line="288" w:lineRule="auto"/>
      <w:ind w:firstLineChars="200" w:firstLine="200"/>
      <w:jc w:val="both"/>
    </w:pPr>
    <w:rPr>
      <w:rFonts w:ascii="KaiTi_GB2312" w:eastAsia="minorBidi" w:hAnsi="KaiTi_GB2312" w:cs="DotumChe"/>
      <w:lang w:eastAsia="ko-KR"/>
    </w:rPr>
  </w:style>
  <w:style w:type="character" w:customStyle="1" w:styleId="maintextChar">
    <w:name w:val="main text Char"/>
    <w:link w:val="maintext"/>
    <w:qFormat/>
    <w:rsid w:val="00334C3A"/>
    <w:rPr>
      <w:rFonts w:ascii="KaiTi_GB2312" w:eastAsia="minorBidi" w:hAnsi="KaiTi_GB2312" w:cs="DotumChe"/>
      <w:lang w:eastAsia="ko-KR"/>
    </w:rPr>
  </w:style>
  <w:style w:type="paragraph" w:customStyle="1" w:styleId="paragraph">
    <w:name w:val="paragraph"/>
    <w:basedOn w:val="Normal"/>
    <w:rsid w:val="00C65FE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65FE3"/>
  </w:style>
  <w:style w:type="character" w:customStyle="1" w:styleId="eop">
    <w:name w:val="eop"/>
    <w:basedOn w:val="DefaultParagraphFont"/>
    <w:rsid w:val="00C65FE3"/>
  </w:style>
  <w:style w:type="paragraph" w:styleId="CommentSubject">
    <w:name w:val="annotation subject"/>
    <w:basedOn w:val="CommentText"/>
    <w:next w:val="CommentText"/>
    <w:link w:val="CommentSubjectChar"/>
    <w:rsid w:val="007C3B92"/>
    <w:pPr>
      <w:overflowPunct/>
      <w:autoSpaceDE/>
      <w:autoSpaceDN/>
      <w:adjustRightInd/>
      <w:spacing w:after="180"/>
      <w:jc w:val="left"/>
      <w:textAlignment w:val="auto"/>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7C3B92"/>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5826">
      <w:bodyDiv w:val="1"/>
      <w:marLeft w:val="0"/>
      <w:marRight w:val="0"/>
      <w:marTop w:val="0"/>
      <w:marBottom w:val="0"/>
      <w:divBdr>
        <w:top w:val="none" w:sz="0" w:space="0" w:color="auto"/>
        <w:left w:val="none" w:sz="0" w:space="0" w:color="auto"/>
        <w:bottom w:val="none" w:sz="0" w:space="0" w:color="auto"/>
        <w:right w:val="none" w:sz="0" w:space="0" w:color="auto"/>
      </w:divBdr>
      <w:divsChild>
        <w:div w:id="347027363">
          <w:marLeft w:val="0"/>
          <w:marRight w:val="0"/>
          <w:marTop w:val="0"/>
          <w:marBottom w:val="0"/>
          <w:divBdr>
            <w:top w:val="none" w:sz="0" w:space="0" w:color="auto"/>
            <w:left w:val="none" w:sz="0" w:space="0" w:color="auto"/>
            <w:bottom w:val="none" w:sz="0" w:space="0" w:color="auto"/>
            <w:right w:val="none" w:sz="0" w:space="0" w:color="auto"/>
          </w:divBdr>
        </w:div>
        <w:div w:id="512229523">
          <w:marLeft w:val="0"/>
          <w:marRight w:val="0"/>
          <w:marTop w:val="0"/>
          <w:marBottom w:val="0"/>
          <w:divBdr>
            <w:top w:val="none" w:sz="0" w:space="0" w:color="auto"/>
            <w:left w:val="none" w:sz="0" w:space="0" w:color="auto"/>
            <w:bottom w:val="none" w:sz="0" w:space="0" w:color="auto"/>
            <w:right w:val="none" w:sz="0" w:space="0" w:color="auto"/>
          </w:divBdr>
        </w:div>
        <w:div w:id="584802782">
          <w:marLeft w:val="0"/>
          <w:marRight w:val="0"/>
          <w:marTop w:val="0"/>
          <w:marBottom w:val="0"/>
          <w:divBdr>
            <w:top w:val="none" w:sz="0" w:space="0" w:color="auto"/>
            <w:left w:val="none" w:sz="0" w:space="0" w:color="auto"/>
            <w:bottom w:val="none" w:sz="0" w:space="0" w:color="auto"/>
            <w:right w:val="none" w:sz="0" w:space="0" w:color="auto"/>
          </w:divBdr>
        </w:div>
        <w:div w:id="706371025">
          <w:marLeft w:val="0"/>
          <w:marRight w:val="0"/>
          <w:marTop w:val="0"/>
          <w:marBottom w:val="0"/>
          <w:divBdr>
            <w:top w:val="none" w:sz="0" w:space="0" w:color="auto"/>
            <w:left w:val="none" w:sz="0" w:space="0" w:color="auto"/>
            <w:bottom w:val="none" w:sz="0" w:space="0" w:color="auto"/>
            <w:right w:val="none" w:sz="0" w:space="0" w:color="auto"/>
          </w:divBdr>
        </w:div>
        <w:div w:id="938292126">
          <w:marLeft w:val="0"/>
          <w:marRight w:val="0"/>
          <w:marTop w:val="0"/>
          <w:marBottom w:val="0"/>
          <w:divBdr>
            <w:top w:val="none" w:sz="0" w:space="0" w:color="auto"/>
            <w:left w:val="none" w:sz="0" w:space="0" w:color="auto"/>
            <w:bottom w:val="none" w:sz="0" w:space="0" w:color="auto"/>
            <w:right w:val="none" w:sz="0" w:space="0" w:color="auto"/>
          </w:divBdr>
        </w:div>
        <w:div w:id="1056397604">
          <w:marLeft w:val="0"/>
          <w:marRight w:val="0"/>
          <w:marTop w:val="0"/>
          <w:marBottom w:val="0"/>
          <w:divBdr>
            <w:top w:val="none" w:sz="0" w:space="0" w:color="auto"/>
            <w:left w:val="none" w:sz="0" w:space="0" w:color="auto"/>
            <w:bottom w:val="none" w:sz="0" w:space="0" w:color="auto"/>
            <w:right w:val="none" w:sz="0" w:space="0" w:color="auto"/>
          </w:divBdr>
        </w:div>
        <w:div w:id="1261570189">
          <w:marLeft w:val="0"/>
          <w:marRight w:val="0"/>
          <w:marTop w:val="0"/>
          <w:marBottom w:val="0"/>
          <w:divBdr>
            <w:top w:val="none" w:sz="0" w:space="0" w:color="auto"/>
            <w:left w:val="none" w:sz="0" w:space="0" w:color="auto"/>
            <w:bottom w:val="none" w:sz="0" w:space="0" w:color="auto"/>
            <w:right w:val="none" w:sz="0" w:space="0" w:color="auto"/>
          </w:divBdr>
        </w:div>
        <w:div w:id="1481194579">
          <w:marLeft w:val="0"/>
          <w:marRight w:val="0"/>
          <w:marTop w:val="0"/>
          <w:marBottom w:val="0"/>
          <w:divBdr>
            <w:top w:val="none" w:sz="0" w:space="0" w:color="auto"/>
            <w:left w:val="none" w:sz="0" w:space="0" w:color="auto"/>
            <w:bottom w:val="none" w:sz="0" w:space="0" w:color="auto"/>
            <w:right w:val="none" w:sz="0" w:space="0" w:color="auto"/>
          </w:divBdr>
        </w:div>
        <w:div w:id="167552595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753778">
      <w:bodyDiv w:val="1"/>
      <w:marLeft w:val="0"/>
      <w:marRight w:val="0"/>
      <w:marTop w:val="0"/>
      <w:marBottom w:val="0"/>
      <w:divBdr>
        <w:top w:val="none" w:sz="0" w:space="0" w:color="auto"/>
        <w:left w:val="none" w:sz="0" w:space="0" w:color="auto"/>
        <w:bottom w:val="none" w:sz="0" w:space="0" w:color="auto"/>
        <w:right w:val="none" w:sz="0" w:space="0" w:color="auto"/>
      </w:divBdr>
      <w:divsChild>
        <w:div w:id="66651552">
          <w:marLeft w:val="0"/>
          <w:marRight w:val="0"/>
          <w:marTop w:val="0"/>
          <w:marBottom w:val="0"/>
          <w:divBdr>
            <w:top w:val="none" w:sz="0" w:space="0" w:color="auto"/>
            <w:left w:val="none" w:sz="0" w:space="0" w:color="auto"/>
            <w:bottom w:val="none" w:sz="0" w:space="0" w:color="auto"/>
            <w:right w:val="none" w:sz="0" w:space="0" w:color="auto"/>
          </w:divBdr>
          <w:divsChild>
            <w:div w:id="518857560">
              <w:marLeft w:val="0"/>
              <w:marRight w:val="0"/>
              <w:marTop w:val="0"/>
              <w:marBottom w:val="0"/>
              <w:divBdr>
                <w:top w:val="none" w:sz="0" w:space="0" w:color="auto"/>
                <w:left w:val="none" w:sz="0" w:space="0" w:color="auto"/>
                <w:bottom w:val="none" w:sz="0" w:space="0" w:color="auto"/>
                <w:right w:val="none" w:sz="0" w:space="0" w:color="auto"/>
              </w:divBdr>
            </w:div>
            <w:div w:id="1003044839">
              <w:marLeft w:val="0"/>
              <w:marRight w:val="0"/>
              <w:marTop w:val="0"/>
              <w:marBottom w:val="0"/>
              <w:divBdr>
                <w:top w:val="none" w:sz="0" w:space="0" w:color="auto"/>
                <w:left w:val="none" w:sz="0" w:space="0" w:color="auto"/>
                <w:bottom w:val="none" w:sz="0" w:space="0" w:color="auto"/>
                <w:right w:val="none" w:sz="0" w:space="0" w:color="auto"/>
              </w:divBdr>
            </w:div>
            <w:div w:id="1065181539">
              <w:marLeft w:val="0"/>
              <w:marRight w:val="0"/>
              <w:marTop w:val="0"/>
              <w:marBottom w:val="0"/>
              <w:divBdr>
                <w:top w:val="none" w:sz="0" w:space="0" w:color="auto"/>
                <w:left w:val="none" w:sz="0" w:space="0" w:color="auto"/>
                <w:bottom w:val="none" w:sz="0" w:space="0" w:color="auto"/>
                <w:right w:val="none" w:sz="0" w:space="0" w:color="auto"/>
              </w:divBdr>
            </w:div>
          </w:divsChild>
        </w:div>
        <w:div w:id="511574415">
          <w:marLeft w:val="0"/>
          <w:marRight w:val="0"/>
          <w:marTop w:val="0"/>
          <w:marBottom w:val="0"/>
          <w:divBdr>
            <w:top w:val="none" w:sz="0" w:space="0" w:color="auto"/>
            <w:left w:val="none" w:sz="0" w:space="0" w:color="auto"/>
            <w:bottom w:val="none" w:sz="0" w:space="0" w:color="auto"/>
            <w:right w:val="none" w:sz="0" w:space="0" w:color="auto"/>
          </w:divBdr>
        </w:div>
        <w:div w:id="1667516140">
          <w:marLeft w:val="0"/>
          <w:marRight w:val="0"/>
          <w:marTop w:val="0"/>
          <w:marBottom w:val="0"/>
          <w:divBdr>
            <w:top w:val="none" w:sz="0" w:space="0" w:color="auto"/>
            <w:left w:val="none" w:sz="0" w:space="0" w:color="auto"/>
            <w:bottom w:val="none" w:sz="0" w:space="0" w:color="auto"/>
            <w:right w:val="none" w:sz="0" w:space="0" w:color="auto"/>
          </w:divBdr>
        </w:div>
      </w:divsChild>
    </w:div>
    <w:div w:id="1849055394">
      <w:bodyDiv w:val="1"/>
      <w:marLeft w:val="0"/>
      <w:marRight w:val="0"/>
      <w:marTop w:val="0"/>
      <w:marBottom w:val="0"/>
      <w:divBdr>
        <w:top w:val="none" w:sz="0" w:space="0" w:color="auto"/>
        <w:left w:val="none" w:sz="0" w:space="0" w:color="auto"/>
        <w:bottom w:val="none" w:sz="0" w:space="0" w:color="auto"/>
        <w:right w:val="none" w:sz="0" w:space="0" w:color="auto"/>
      </w:divBdr>
      <w:divsChild>
        <w:div w:id="1006980454">
          <w:marLeft w:val="0"/>
          <w:marRight w:val="0"/>
          <w:marTop w:val="0"/>
          <w:marBottom w:val="0"/>
          <w:divBdr>
            <w:top w:val="none" w:sz="0" w:space="0" w:color="auto"/>
            <w:left w:val="none" w:sz="0" w:space="0" w:color="auto"/>
            <w:bottom w:val="none" w:sz="0" w:space="0" w:color="auto"/>
            <w:right w:val="none" w:sz="0" w:space="0" w:color="auto"/>
          </w:divBdr>
          <w:divsChild>
            <w:div w:id="1126243752">
              <w:marLeft w:val="0"/>
              <w:marRight w:val="0"/>
              <w:marTop w:val="0"/>
              <w:marBottom w:val="0"/>
              <w:divBdr>
                <w:top w:val="none" w:sz="0" w:space="0" w:color="auto"/>
                <w:left w:val="none" w:sz="0" w:space="0" w:color="auto"/>
                <w:bottom w:val="none" w:sz="0" w:space="0" w:color="auto"/>
                <w:right w:val="none" w:sz="0" w:space="0" w:color="auto"/>
              </w:divBdr>
            </w:div>
            <w:div w:id="1678655904">
              <w:marLeft w:val="0"/>
              <w:marRight w:val="0"/>
              <w:marTop w:val="0"/>
              <w:marBottom w:val="0"/>
              <w:divBdr>
                <w:top w:val="none" w:sz="0" w:space="0" w:color="auto"/>
                <w:left w:val="none" w:sz="0" w:space="0" w:color="auto"/>
                <w:bottom w:val="none" w:sz="0" w:space="0" w:color="auto"/>
                <w:right w:val="none" w:sz="0" w:space="0" w:color="auto"/>
              </w:divBdr>
            </w:div>
            <w:div w:id="2088962658">
              <w:marLeft w:val="0"/>
              <w:marRight w:val="0"/>
              <w:marTop w:val="0"/>
              <w:marBottom w:val="0"/>
              <w:divBdr>
                <w:top w:val="none" w:sz="0" w:space="0" w:color="auto"/>
                <w:left w:val="none" w:sz="0" w:space="0" w:color="auto"/>
                <w:bottom w:val="none" w:sz="0" w:space="0" w:color="auto"/>
                <w:right w:val="none" w:sz="0" w:space="0" w:color="auto"/>
              </w:divBdr>
            </w:div>
          </w:divsChild>
        </w:div>
        <w:div w:id="1446459034">
          <w:marLeft w:val="0"/>
          <w:marRight w:val="0"/>
          <w:marTop w:val="0"/>
          <w:marBottom w:val="0"/>
          <w:divBdr>
            <w:top w:val="none" w:sz="0" w:space="0" w:color="auto"/>
            <w:left w:val="none" w:sz="0" w:space="0" w:color="auto"/>
            <w:bottom w:val="none" w:sz="0" w:space="0" w:color="auto"/>
            <w:right w:val="none" w:sz="0" w:space="0" w:color="auto"/>
          </w:divBdr>
        </w:div>
        <w:div w:id="169850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5AIRPNAIUNRU-859666464-11951</_dlc_DocId>
    <_dlc_DocIdUrl xmlns="71c5aaf6-e6ce-465b-b873-5148d2a4c105">
      <Url>https://nokia.sharepoint.com/sites/c5g/e2earch/_layouts/15/DocIdRedir.aspx?ID=5AIRPNAIUNRU-859666464-11951</Url>
      <Description>5AIRPNAIUNRU-859666464-11951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1570</Words>
  <Characters>8175</Characters>
  <Application>Microsoft Office Word</Application>
  <DocSecurity>0</DocSecurity>
  <Lines>68</Lines>
  <Paragraphs>19</Paragraphs>
  <ScaleCrop>false</ScaleCrop>
  <Manager/>
  <Company>Nokia</Company>
  <LinksUpToDate>false</LinksUpToDate>
  <CharactersWithSpaces>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2022-08-10T08:15:00Z</dcterms:created>
  <dcterms:modified xsi:type="dcterms:W3CDTF">2022-08-10T08:15:00Z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7d5d2326-1f6c-489a-8e54-56987fdd950f</vt:lpwstr>
  </property>
</Properties>
</file>